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08193">
      <w:pPr>
        <w:pStyle w:val="6"/>
        <w:widowControl/>
        <w:shd w:val="clear" w:color="auto" w:fill="FFFFFF"/>
        <w:spacing w:beforeAutospacing="0" w:afterAutospacing="0" w:line="360" w:lineRule="auto"/>
        <w:rPr>
          <w:rFonts w:hint="eastAsia" w:ascii="宋体" w:hAnsi="宋体" w:eastAsia="宋体" w:cs="宋体"/>
          <w:b w:val="0"/>
          <w:bCs w:val="0"/>
          <w:sz w:val="44"/>
          <w:szCs w:val="44"/>
          <w:highlight w:val="none"/>
          <w:u w:val="none"/>
          <w:lang w:val="en-US" w:eastAsia="zh-CN" w:bidi="ar-SA"/>
        </w:rPr>
      </w:pPr>
      <w:bookmarkStart w:id="4" w:name="_GoBack"/>
      <w:bookmarkEnd w:id="4"/>
    </w:p>
    <w:p w14:paraId="79D19B55">
      <w:pPr>
        <w:pStyle w:val="2"/>
        <w:numPr>
          <w:ilvl w:val="0"/>
          <w:numId w:val="0"/>
        </w:numPr>
        <w:spacing w:line="360" w:lineRule="auto"/>
        <w:jc w:val="center"/>
        <w:rPr>
          <w:rFonts w:hint="eastAsia" w:ascii="宋体" w:hAnsi="宋体" w:eastAsia="宋体" w:cs="宋体"/>
          <w:b/>
          <w:bCs/>
          <w:color w:val="auto"/>
          <w:sz w:val="32"/>
          <w:szCs w:val="32"/>
          <w:highlight w:val="none"/>
        </w:rPr>
      </w:pPr>
      <w:bookmarkStart w:id="0" w:name="_Toc14376"/>
      <w:bookmarkStart w:id="1" w:name="_Toc11509"/>
      <w:bookmarkStart w:id="2" w:name="_Toc7708"/>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合同签订时采购人有权根据投标人招标文件中的内容及承诺对合同内容进行补充和完善</w:t>
      </w:r>
      <w:r>
        <w:rPr>
          <w:rFonts w:hint="eastAsia" w:ascii="宋体" w:hAnsi="宋体" w:eastAsia="宋体" w:cs="宋体"/>
          <w:b w:val="0"/>
          <w:sz w:val="21"/>
          <w:szCs w:val="21"/>
          <w:highlight w:val="none"/>
        </w:rPr>
        <w:t>）</w:t>
      </w:r>
      <w:bookmarkEnd w:id="0"/>
      <w:bookmarkEnd w:id="1"/>
      <w:bookmarkEnd w:id="2"/>
    </w:p>
    <w:p w14:paraId="02E7E6CA">
      <w:pPr>
        <w:pStyle w:val="4"/>
        <w:adjustRightInd w:val="0"/>
        <w:snapToGrid w:val="0"/>
        <w:spacing w:line="360" w:lineRule="auto"/>
        <w:ind w:firstLine="0"/>
        <w:jc w:val="center"/>
        <w:rPr>
          <w:rFonts w:hint="eastAsia" w:ascii="宋体" w:hAnsi="宋体" w:eastAsia="宋体" w:cs="宋体"/>
          <w:sz w:val="44"/>
          <w:szCs w:val="44"/>
          <w:highlight w:val="none"/>
          <w:u w:val="none"/>
          <w:lang w:eastAsia="zh-CN"/>
        </w:rPr>
      </w:pPr>
    </w:p>
    <w:p w14:paraId="6931E14A">
      <w:pPr>
        <w:pStyle w:val="4"/>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highlight w:val="none"/>
          <w:u w:val="none"/>
          <w:lang w:eastAsia="zh-CN"/>
        </w:rPr>
        <w:t>（</w:t>
      </w:r>
      <w:r>
        <w:rPr>
          <w:rFonts w:hint="eastAsia" w:ascii="宋体" w:hAnsi="宋体" w:eastAsia="宋体" w:cs="宋体"/>
          <w:sz w:val="44"/>
          <w:szCs w:val="44"/>
          <w:highlight w:val="none"/>
          <w:u w:val="none"/>
          <w:lang w:val="en-US" w:eastAsia="zh-CN"/>
        </w:rPr>
        <w:t>项目名称</w:t>
      </w:r>
      <w:r>
        <w:rPr>
          <w:rFonts w:hint="eastAsia" w:ascii="宋体" w:hAnsi="宋体" w:eastAsia="宋体" w:cs="宋体"/>
          <w:sz w:val="44"/>
          <w:szCs w:val="44"/>
          <w:highlight w:val="none"/>
          <w:u w:val="none"/>
          <w:lang w:eastAsia="zh-CN"/>
        </w:rPr>
        <w:t>）</w:t>
      </w:r>
    </w:p>
    <w:p w14:paraId="757DECFC">
      <w:pPr>
        <w:spacing w:line="360" w:lineRule="auto"/>
        <w:jc w:val="center"/>
        <w:rPr>
          <w:rFonts w:hint="eastAsia" w:ascii="宋体" w:hAnsi="宋体" w:cs="宋体"/>
          <w:b/>
          <w:bCs/>
          <w:caps w:val="0"/>
          <w:color w:val="auto"/>
          <w:spacing w:val="26"/>
          <w:sz w:val="36"/>
          <w:szCs w:val="36"/>
          <w:highlight w:val="none"/>
        </w:rPr>
      </w:pPr>
    </w:p>
    <w:p w14:paraId="20EB1E27">
      <w:pPr>
        <w:spacing w:line="360" w:lineRule="auto"/>
        <w:jc w:val="center"/>
        <w:rPr>
          <w:rFonts w:hint="eastAsia" w:ascii="宋体" w:hAnsi="宋体" w:cs="宋体"/>
          <w:b/>
          <w:bCs/>
          <w:caps w:val="0"/>
          <w:color w:val="auto"/>
          <w:spacing w:val="26"/>
          <w:sz w:val="84"/>
          <w:szCs w:val="84"/>
          <w:highlight w:val="none"/>
        </w:rPr>
      </w:pPr>
    </w:p>
    <w:p w14:paraId="5C674568">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lang w:val="en-US" w:eastAsia="zh-CN"/>
        </w:rPr>
        <w:t>购销</w:t>
      </w:r>
      <w:r>
        <w:rPr>
          <w:rFonts w:hint="eastAsia" w:ascii="宋体" w:hAnsi="宋体"/>
          <w:b/>
          <w:bCs/>
          <w:caps w:val="0"/>
          <w:color w:val="auto"/>
          <w:sz w:val="84"/>
          <w:szCs w:val="84"/>
          <w:highlight w:val="none"/>
        </w:rPr>
        <w:t>合同</w:t>
      </w:r>
    </w:p>
    <w:p w14:paraId="21B5F18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5E120229">
      <w:pPr>
        <w:spacing w:line="360" w:lineRule="auto"/>
        <w:jc w:val="center"/>
        <w:rPr>
          <w:rFonts w:hint="eastAsia" w:ascii="宋体" w:hAnsi="宋体" w:cs="宋体"/>
          <w:b/>
          <w:bCs/>
          <w:caps w:val="0"/>
          <w:color w:val="auto"/>
          <w:spacing w:val="26"/>
          <w:sz w:val="36"/>
          <w:szCs w:val="36"/>
          <w:highlight w:val="none"/>
        </w:rPr>
      </w:pPr>
    </w:p>
    <w:p w14:paraId="0369A898">
      <w:pPr>
        <w:spacing w:line="360" w:lineRule="auto"/>
        <w:rPr>
          <w:rFonts w:ascii="宋体" w:hAnsi="宋体"/>
          <w:b/>
          <w:caps w:val="0"/>
          <w:color w:val="auto"/>
          <w:sz w:val="32"/>
          <w:szCs w:val="32"/>
          <w:highlight w:val="none"/>
        </w:rPr>
      </w:pPr>
    </w:p>
    <w:p w14:paraId="2413F3B8">
      <w:pPr>
        <w:spacing w:line="360" w:lineRule="auto"/>
        <w:rPr>
          <w:rFonts w:ascii="宋体" w:hAnsi="宋体"/>
          <w:b/>
          <w:caps w:val="0"/>
          <w:color w:val="auto"/>
          <w:sz w:val="32"/>
          <w:szCs w:val="32"/>
          <w:highlight w:val="none"/>
        </w:rPr>
      </w:pPr>
    </w:p>
    <w:p w14:paraId="3936ACB6">
      <w:pPr>
        <w:spacing w:line="360" w:lineRule="auto"/>
        <w:rPr>
          <w:rFonts w:ascii="宋体" w:hAnsi="宋体"/>
          <w:b/>
          <w:caps w:val="0"/>
          <w:color w:val="auto"/>
          <w:sz w:val="32"/>
          <w:szCs w:val="32"/>
          <w:highlight w:val="none"/>
        </w:rPr>
      </w:pPr>
    </w:p>
    <w:p w14:paraId="5FFABD4B">
      <w:pPr>
        <w:spacing w:line="360" w:lineRule="auto"/>
        <w:rPr>
          <w:rFonts w:ascii="宋体" w:hAnsi="宋体"/>
          <w:b/>
          <w:caps w:val="0"/>
          <w:color w:val="auto"/>
          <w:sz w:val="32"/>
          <w:szCs w:val="32"/>
          <w:highlight w:val="none"/>
        </w:rPr>
      </w:pPr>
    </w:p>
    <w:p w14:paraId="6BF9A179">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9A1302C">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384C7900">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48B48B95">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7D09977F">
      <w:pPr>
        <w:rPr>
          <w:rFonts w:hint="eastAsia" w:ascii="宋体" w:hAnsi="宋体"/>
          <w:b/>
          <w:caps w:val="0"/>
          <w:color w:val="auto"/>
          <w:sz w:val="44"/>
          <w:szCs w:val="44"/>
          <w:highlight w:val="none"/>
        </w:rPr>
      </w:pPr>
      <w:r>
        <w:rPr>
          <w:rFonts w:hint="eastAsia" w:ascii="宋体" w:hAnsi="宋体"/>
          <w:b/>
          <w:caps w:val="0"/>
          <w:color w:val="auto"/>
          <w:sz w:val="44"/>
          <w:szCs w:val="44"/>
          <w:highlight w:val="none"/>
        </w:rPr>
        <w:br w:type="page"/>
      </w:r>
    </w:p>
    <w:p w14:paraId="5478290A">
      <w:pPr>
        <w:spacing w:after="120" w:afterLines="50" w:line="460" w:lineRule="exact"/>
        <w:jc w:val="center"/>
        <w:rPr>
          <w:rFonts w:ascii="楷体" w:hAnsi="楷体" w:eastAsia="楷体" w:cs="楷体_GB2312"/>
          <w:b/>
          <w:color w:val="000000"/>
          <w:sz w:val="44"/>
          <w:szCs w:val="44"/>
        </w:rPr>
      </w:pPr>
      <w:bookmarkStart w:id="3" w:name="OLE_LINK14"/>
      <w:r>
        <w:rPr>
          <w:rFonts w:hint="eastAsia" w:ascii="楷体" w:hAnsi="楷体" w:eastAsia="楷体" w:cs="楷体_GB2312"/>
          <w:b/>
          <w:color w:val="000000"/>
          <w:sz w:val="44"/>
          <w:szCs w:val="44"/>
        </w:rPr>
        <w:t>购</w:t>
      </w:r>
      <w:r>
        <w:rPr>
          <w:rFonts w:ascii="楷体" w:hAnsi="楷体" w:eastAsia="楷体" w:cs="楷体_GB2312"/>
          <w:b/>
          <w:color w:val="000000"/>
          <w:sz w:val="44"/>
          <w:szCs w:val="44"/>
        </w:rPr>
        <w:t xml:space="preserve"> </w:t>
      </w:r>
      <w:r>
        <w:rPr>
          <w:rFonts w:hint="eastAsia" w:ascii="楷体" w:hAnsi="楷体" w:eastAsia="楷体" w:cs="楷体_GB2312"/>
          <w:b/>
          <w:color w:val="000000"/>
          <w:sz w:val="44"/>
          <w:szCs w:val="44"/>
        </w:rPr>
        <w:t>销</w:t>
      </w:r>
      <w:r>
        <w:rPr>
          <w:rFonts w:ascii="楷体" w:hAnsi="楷体" w:eastAsia="楷体" w:cs="楷体_GB2312"/>
          <w:b/>
          <w:color w:val="000000"/>
          <w:sz w:val="44"/>
          <w:szCs w:val="44"/>
        </w:rPr>
        <w:t xml:space="preserve"> </w:t>
      </w:r>
      <w:r>
        <w:rPr>
          <w:rFonts w:hint="eastAsia" w:ascii="楷体" w:hAnsi="楷体" w:eastAsia="楷体" w:cs="楷体_GB2312"/>
          <w:b/>
          <w:color w:val="000000"/>
          <w:sz w:val="44"/>
          <w:szCs w:val="44"/>
        </w:rPr>
        <w:t>合</w:t>
      </w:r>
      <w:r>
        <w:rPr>
          <w:rFonts w:ascii="楷体" w:hAnsi="楷体" w:eastAsia="楷体" w:cs="楷体_GB2312"/>
          <w:b/>
          <w:color w:val="000000"/>
          <w:sz w:val="44"/>
          <w:szCs w:val="44"/>
        </w:rPr>
        <w:t xml:space="preserve"> </w:t>
      </w:r>
      <w:r>
        <w:rPr>
          <w:rFonts w:hint="eastAsia" w:ascii="楷体" w:hAnsi="楷体" w:eastAsia="楷体" w:cs="楷体_GB2312"/>
          <w:b/>
          <w:color w:val="000000"/>
          <w:sz w:val="44"/>
          <w:szCs w:val="44"/>
        </w:rPr>
        <w:t>同</w:t>
      </w:r>
    </w:p>
    <w:p w14:paraId="6B286381">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采购人（甲方）：安康学院               合同编号：</w:t>
      </w:r>
    </w:p>
    <w:p w14:paraId="6DB571E5">
      <w:pPr>
        <w:pStyle w:val="10"/>
        <w:spacing w:after="240" w:afterLines="100"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供应商（乙方）：                       签订日期：</w:t>
      </w:r>
    </w:p>
    <w:p w14:paraId="23056189">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根据《中华人民共和国政府采购法》及实施条例、《中华人民共和国民法典》及其他有关法律、法规，为保证甲方项目的顺利实施，遵循平等、自愿、公平和诚信的原则，甲、乙双方同意签订本合同，并共同遵守如下条款：</w:t>
      </w:r>
    </w:p>
    <w:p w14:paraId="2DB649E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b/>
          <w:bCs/>
          <w:color w:val="000000"/>
          <w:sz w:val="21"/>
          <w:szCs w:val="21"/>
        </w:rPr>
        <w:t>第一条 合同标的及数量</w:t>
      </w:r>
    </w:p>
    <w:p w14:paraId="0DEF91CD">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乙方向甲方提供下列货物（产品）：</w:t>
      </w:r>
    </w:p>
    <w:p w14:paraId="2C002B6E">
      <w:pPr>
        <w:spacing w:line="360" w:lineRule="auto"/>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供货一览表</w:t>
      </w:r>
    </w:p>
    <w:tbl>
      <w:tblPr>
        <w:tblStyle w:val="7"/>
        <w:tblpPr w:leftFromText="180" w:rightFromText="180" w:vertAnchor="page" w:horzAnchor="page" w:tblpX="1791" w:tblpY="6242"/>
        <w:tblW w:w="867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72"/>
        <w:gridCol w:w="1822"/>
        <w:gridCol w:w="1264"/>
        <w:gridCol w:w="971"/>
        <w:gridCol w:w="1216"/>
        <w:gridCol w:w="1333"/>
      </w:tblGrid>
      <w:tr w14:paraId="586D28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52" w:hRule="atLeast"/>
        </w:trPr>
        <w:tc>
          <w:tcPr>
            <w:tcW w:w="2072" w:type="dxa"/>
            <w:tcBorders>
              <w:top w:val="single" w:color="auto" w:sz="4" w:space="0"/>
            </w:tcBorders>
            <w:vAlign w:val="center"/>
          </w:tcPr>
          <w:p w14:paraId="1484DEE9">
            <w:pPr>
              <w:jc w:val="center"/>
              <w:rPr>
                <w:rFonts w:hint="eastAsia" w:ascii="宋体" w:hAnsi="宋体" w:eastAsia="宋体" w:cs="宋体"/>
                <w:color w:val="000000"/>
                <w:sz w:val="21"/>
                <w:szCs w:val="21"/>
              </w:rPr>
            </w:pPr>
            <w:r>
              <w:rPr>
                <w:rFonts w:hint="eastAsia" w:ascii="宋体" w:hAnsi="宋体" w:eastAsia="宋体" w:cs="宋体"/>
                <w:b/>
                <w:color w:val="000000"/>
                <w:sz w:val="21"/>
                <w:szCs w:val="21"/>
              </w:rPr>
              <w:br w:type="page"/>
            </w:r>
            <w:r>
              <w:rPr>
                <w:rFonts w:hint="eastAsia" w:ascii="宋体" w:hAnsi="宋体" w:eastAsia="宋体" w:cs="宋体"/>
                <w:color w:val="000000"/>
                <w:sz w:val="21"/>
                <w:szCs w:val="21"/>
              </w:rPr>
              <w:t>产品名称</w:t>
            </w:r>
          </w:p>
        </w:tc>
        <w:tc>
          <w:tcPr>
            <w:tcW w:w="1822" w:type="dxa"/>
            <w:tcBorders>
              <w:top w:val="single" w:color="auto" w:sz="4" w:space="0"/>
            </w:tcBorders>
            <w:vAlign w:val="center"/>
          </w:tcPr>
          <w:p w14:paraId="3AA0315F">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型号</w:t>
            </w:r>
          </w:p>
          <w:p w14:paraId="21759B5E">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规格</w:t>
            </w:r>
          </w:p>
        </w:tc>
        <w:tc>
          <w:tcPr>
            <w:tcW w:w="1264" w:type="dxa"/>
            <w:tcBorders>
              <w:top w:val="single" w:color="auto" w:sz="4" w:space="0"/>
            </w:tcBorders>
            <w:vAlign w:val="center"/>
          </w:tcPr>
          <w:p w14:paraId="77CD7B54">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单位</w:t>
            </w:r>
          </w:p>
        </w:tc>
        <w:tc>
          <w:tcPr>
            <w:tcW w:w="971" w:type="dxa"/>
            <w:tcBorders>
              <w:top w:val="single" w:color="auto" w:sz="4" w:space="0"/>
            </w:tcBorders>
            <w:vAlign w:val="center"/>
          </w:tcPr>
          <w:p w14:paraId="11AC3EA7">
            <w:pPr>
              <w:spacing w:line="360" w:lineRule="auto"/>
              <w:ind w:left="141" w:leftChars="67"/>
              <w:jc w:val="center"/>
              <w:rPr>
                <w:rFonts w:hint="eastAsia" w:ascii="宋体" w:hAnsi="宋体" w:eastAsia="宋体" w:cs="宋体"/>
                <w:color w:val="000000"/>
                <w:sz w:val="21"/>
                <w:szCs w:val="21"/>
              </w:rPr>
            </w:pPr>
            <w:r>
              <w:rPr>
                <w:rFonts w:hint="eastAsia" w:ascii="宋体" w:hAnsi="宋体" w:eastAsia="宋体" w:cs="宋体"/>
                <w:color w:val="000000"/>
                <w:sz w:val="21"/>
                <w:szCs w:val="21"/>
              </w:rPr>
              <w:t>数量</w:t>
            </w:r>
          </w:p>
        </w:tc>
        <w:tc>
          <w:tcPr>
            <w:tcW w:w="1216" w:type="dxa"/>
            <w:tcBorders>
              <w:top w:val="single" w:color="auto" w:sz="4" w:space="0"/>
            </w:tcBorders>
            <w:vAlign w:val="center"/>
          </w:tcPr>
          <w:p w14:paraId="59439C1E">
            <w:pPr>
              <w:spacing w:line="360" w:lineRule="auto"/>
              <w:ind w:firstLine="105" w:firstLineChars="5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单价</w:t>
            </w:r>
          </w:p>
          <w:p w14:paraId="3A5620D4">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（万元）</w:t>
            </w:r>
          </w:p>
        </w:tc>
        <w:tc>
          <w:tcPr>
            <w:tcW w:w="1333" w:type="dxa"/>
            <w:tcBorders>
              <w:top w:val="single" w:color="auto" w:sz="4" w:space="0"/>
            </w:tcBorders>
            <w:vAlign w:val="center"/>
          </w:tcPr>
          <w:p w14:paraId="3B0267CD">
            <w:pPr>
              <w:spacing w:line="360" w:lineRule="auto"/>
              <w:ind w:firstLine="105" w:firstLineChars="50"/>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金额</w:t>
            </w:r>
          </w:p>
          <w:p w14:paraId="59214539">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（万元）</w:t>
            </w:r>
          </w:p>
        </w:tc>
      </w:tr>
      <w:tr w14:paraId="4445F0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6" w:hRule="atLeast"/>
        </w:trPr>
        <w:tc>
          <w:tcPr>
            <w:tcW w:w="2072" w:type="dxa"/>
            <w:vAlign w:val="center"/>
          </w:tcPr>
          <w:p w14:paraId="2BB037E3">
            <w:pPr>
              <w:spacing w:line="360" w:lineRule="auto"/>
              <w:jc w:val="center"/>
              <w:rPr>
                <w:rFonts w:hint="eastAsia" w:ascii="宋体" w:hAnsi="宋体" w:eastAsia="宋体" w:cs="宋体"/>
                <w:color w:val="000000"/>
                <w:sz w:val="21"/>
                <w:szCs w:val="21"/>
              </w:rPr>
            </w:pPr>
          </w:p>
        </w:tc>
        <w:tc>
          <w:tcPr>
            <w:tcW w:w="1822" w:type="dxa"/>
            <w:vAlign w:val="center"/>
          </w:tcPr>
          <w:p w14:paraId="35CCB739">
            <w:pPr>
              <w:spacing w:line="360" w:lineRule="auto"/>
              <w:ind w:left="280" w:hanging="210" w:hangingChars="100"/>
              <w:jc w:val="center"/>
              <w:rPr>
                <w:rFonts w:hint="eastAsia" w:ascii="宋体" w:hAnsi="宋体" w:eastAsia="宋体" w:cs="宋体"/>
                <w:color w:val="000000"/>
                <w:sz w:val="21"/>
                <w:szCs w:val="21"/>
              </w:rPr>
            </w:pPr>
          </w:p>
        </w:tc>
        <w:tc>
          <w:tcPr>
            <w:tcW w:w="1264" w:type="dxa"/>
            <w:vAlign w:val="center"/>
          </w:tcPr>
          <w:p w14:paraId="2111DA80">
            <w:pPr>
              <w:spacing w:line="360" w:lineRule="auto"/>
              <w:jc w:val="center"/>
              <w:rPr>
                <w:rFonts w:hint="eastAsia" w:ascii="宋体" w:hAnsi="宋体" w:eastAsia="宋体" w:cs="宋体"/>
                <w:color w:val="000000"/>
                <w:sz w:val="21"/>
                <w:szCs w:val="21"/>
              </w:rPr>
            </w:pPr>
          </w:p>
        </w:tc>
        <w:tc>
          <w:tcPr>
            <w:tcW w:w="971" w:type="dxa"/>
            <w:vAlign w:val="center"/>
          </w:tcPr>
          <w:p w14:paraId="41FD44B9">
            <w:pPr>
              <w:spacing w:line="360" w:lineRule="auto"/>
              <w:jc w:val="center"/>
              <w:rPr>
                <w:rFonts w:hint="eastAsia" w:ascii="宋体" w:hAnsi="宋体" w:eastAsia="宋体" w:cs="宋体"/>
                <w:color w:val="000000"/>
                <w:sz w:val="21"/>
                <w:szCs w:val="21"/>
              </w:rPr>
            </w:pPr>
          </w:p>
        </w:tc>
        <w:tc>
          <w:tcPr>
            <w:tcW w:w="1216" w:type="dxa"/>
            <w:vAlign w:val="center"/>
          </w:tcPr>
          <w:p w14:paraId="186ADD2F">
            <w:pPr>
              <w:spacing w:line="360" w:lineRule="auto"/>
              <w:jc w:val="center"/>
              <w:rPr>
                <w:rFonts w:hint="eastAsia" w:ascii="宋体" w:hAnsi="宋体" w:eastAsia="宋体" w:cs="宋体"/>
                <w:color w:val="000000"/>
                <w:sz w:val="21"/>
                <w:szCs w:val="21"/>
              </w:rPr>
            </w:pPr>
          </w:p>
        </w:tc>
        <w:tc>
          <w:tcPr>
            <w:tcW w:w="1333" w:type="dxa"/>
            <w:vAlign w:val="center"/>
          </w:tcPr>
          <w:p w14:paraId="277A5E31">
            <w:pPr>
              <w:spacing w:line="360" w:lineRule="auto"/>
              <w:jc w:val="center"/>
              <w:rPr>
                <w:rFonts w:hint="eastAsia" w:ascii="宋体" w:hAnsi="宋体" w:eastAsia="宋体" w:cs="宋体"/>
                <w:color w:val="000000"/>
                <w:sz w:val="21"/>
                <w:szCs w:val="21"/>
              </w:rPr>
            </w:pPr>
          </w:p>
        </w:tc>
      </w:tr>
      <w:tr w14:paraId="60625A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6" w:hRule="atLeast"/>
        </w:trPr>
        <w:tc>
          <w:tcPr>
            <w:tcW w:w="2072" w:type="dxa"/>
            <w:vAlign w:val="center"/>
          </w:tcPr>
          <w:p w14:paraId="2AEDF280">
            <w:pPr>
              <w:spacing w:line="360" w:lineRule="auto"/>
              <w:jc w:val="center"/>
              <w:rPr>
                <w:rFonts w:hint="eastAsia" w:ascii="宋体" w:hAnsi="宋体" w:eastAsia="宋体" w:cs="宋体"/>
                <w:color w:val="000000"/>
                <w:sz w:val="21"/>
                <w:szCs w:val="21"/>
              </w:rPr>
            </w:pPr>
          </w:p>
        </w:tc>
        <w:tc>
          <w:tcPr>
            <w:tcW w:w="1822" w:type="dxa"/>
            <w:vAlign w:val="center"/>
          </w:tcPr>
          <w:p w14:paraId="02FB12BA">
            <w:pPr>
              <w:spacing w:line="360" w:lineRule="auto"/>
              <w:jc w:val="center"/>
              <w:rPr>
                <w:rFonts w:hint="eastAsia" w:ascii="宋体" w:hAnsi="宋体" w:eastAsia="宋体" w:cs="宋体"/>
                <w:color w:val="000000"/>
                <w:sz w:val="21"/>
                <w:szCs w:val="21"/>
              </w:rPr>
            </w:pPr>
          </w:p>
        </w:tc>
        <w:tc>
          <w:tcPr>
            <w:tcW w:w="1264" w:type="dxa"/>
            <w:vAlign w:val="center"/>
          </w:tcPr>
          <w:p w14:paraId="6DDF7723">
            <w:pPr>
              <w:spacing w:line="360" w:lineRule="auto"/>
              <w:jc w:val="center"/>
              <w:rPr>
                <w:rFonts w:hint="eastAsia" w:ascii="宋体" w:hAnsi="宋体" w:eastAsia="宋体" w:cs="宋体"/>
                <w:color w:val="000000"/>
                <w:sz w:val="21"/>
                <w:szCs w:val="21"/>
              </w:rPr>
            </w:pPr>
          </w:p>
        </w:tc>
        <w:tc>
          <w:tcPr>
            <w:tcW w:w="971" w:type="dxa"/>
            <w:vAlign w:val="center"/>
          </w:tcPr>
          <w:p w14:paraId="017F8929">
            <w:pPr>
              <w:spacing w:line="360" w:lineRule="auto"/>
              <w:jc w:val="center"/>
              <w:rPr>
                <w:rFonts w:hint="eastAsia" w:ascii="宋体" w:hAnsi="宋体" w:eastAsia="宋体" w:cs="宋体"/>
                <w:color w:val="000000"/>
                <w:sz w:val="21"/>
                <w:szCs w:val="21"/>
              </w:rPr>
            </w:pPr>
          </w:p>
        </w:tc>
        <w:tc>
          <w:tcPr>
            <w:tcW w:w="1216" w:type="dxa"/>
            <w:vAlign w:val="center"/>
          </w:tcPr>
          <w:p w14:paraId="6A56F8A4">
            <w:pPr>
              <w:spacing w:line="360" w:lineRule="auto"/>
              <w:jc w:val="center"/>
              <w:rPr>
                <w:rFonts w:hint="eastAsia" w:ascii="宋体" w:hAnsi="宋体" w:eastAsia="宋体" w:cs="宋体"/>
                <w:color w:val="000000"/>
                <w:sz w:val="21"/>
                <w:szCs w:val="21"/>
              </w:rPr>
            </w:pPr>
          </w:p>
        </w:tc>
        <w:tc>
          <w:tcPr>
            <w:tcW w:w="1333" w:type="dxa"/>
            <w:vAlign w:val="center"/>
          </w:tcPr>
          <w:p w14:paraId="2093EC08">
            <w:pPr>
              <w:spacing w:line="360" w:lineRule="auto"/>
              <w:jc w:val="center"/>
              <w:rPr>
                <w:rFonts w:hint="eastAsia" w:ascii="宋体" w:hAnsi="宋体" w:eastAsia="宋体" w:cs="宋体"/>
                <w:color w:val="000000"/>
                <w:sz w:val="21"/>
                <w:szCs w:val="21"/>
              </w:rPr>
            </w:pPr>
          </w:p>
        </w:tc>
      </w:tr>
      <w:tr w14:paraId="231F1F8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6" w:hRule="atLeast"/>
        </w:trPr>
        <w:tc>
          <w:tcPr>
            <w:tcW w:w="2072" w:type="dxa"/>
            <w:vAlign w:val="center"/>
          </w:tcPr>
          <w:p w14:paraId="3A48BF6E">
            <w:pPr>
              <w:spacing w:line="360" w:lineRule="auto"/>
              <w:jc w:val="center"/>
              <w:rPr>
                <w:rFonts w:hint="eastAsia" w:ascii="宋体" w:hAnsi="宋体" w:eastAsia="宋体" w:cs="宋体"/>
                <w:color w:val="000000"/>
                <w:sz w:val="21"/>
                <w:szCs w:val="21"/>
              </w:rPr>
            </w:pPr>
          </w:p>
        </w:tc>
        <w:tc>
          <w:tcPr>
            <w:tcW w:w="1822" w:type="dxa"/>
            <w:vAlign w:val="center"/>
          </w:tcPr>
          <w:p w14:paraId="10BF9688">
            <w:pPr>
              <w:spacing w:line="360" w:lineRule="auto"/>
              <w:jc w:val="center"/>
              <w:rPr>
                <w:rFonts w:hint="eastAsia" w:ascii="宋体" w:hAnsi="宋体" w:eastAsia="宋体" w:cs="宋体"/>
                <w:color w:val="000000"/>
                <w:sz w:val="21"/>
                <w:szCs w:val="21"/>
              </w:rPr>
            </w:pPr>
          </w:p>
        </w:tc>
        <w:tc>
          <w:tcPr>
            <w:tcW w:w="1264" w:type="dxa"/>
            <w:vAlign w:val="center"/>
          </w:tcPr>
          <w:p w14:paraId="097B63E8">
            <w:pPr>
              <w:spacing w:line="360" w:lineRule="auto"/>
              <w:jc w:val="center"/>
              <w:rPr>
                <w:rFonts w:hint="eastAsia" w:ascii="宋体" w:hAnsi="宋体" w:eastAsia="宋体" w:cs="宋体"/>
                <w:color w:val="000000"/>
                <w:sz w:val="21"/>
                <w:szCs w:val="21"/>
              </w:rPr>
            </w:pPr>
          </w:p>
        </w:tc>
        <w:tc>
          <w:tcPr>
            <w:tcW w:w="971" w:type="dxa"/>
            <w:vAlign w:val="center"/>
          </w:tcPr>
          <w:p w14:paraId="3E7586BD">
            <w:pPr>
              <w:spacing w:line="360" w:lineRule="auto"/>
              <w:jc w:val="center"/>
              <w:rPr>
                <w:rFonts w:hint="eastAsia" w:ascii="宋体" w:hAnsi="宋体" w:eastAsia="宋体" w:cs="宋体"/>
                <w:color w:val="000000"/>
                <w:sz w:val="21"/>
                <w:szCs w:val="21"/>
              </w:rPr>
            </w:pPr>
          </w:p>
        </w:tc>
        <w:tc>
          <w:tcPr>
            <w:tcW w:w="1216" w:type="dxa"/>
            <w:vAlign w:val="center"/>
          </w:tcPr>
          <w:p w14:paraId="3FF5FEE7">
            <w:pPr>
              <w:spacing w:line="360" w:lineRule="auto"/>
              <w:jc w:val="center"/>
              <w:rPr>
                <w:rFonts w:hint="eastAsia" w:ascii="宋体" w:hAnsi="宋体" w:eastAsia="宋体" w:cs="宋体"/>
                <w:color w:val="000000"/>
                <w:sz w:val="21"/>
                <w:szCs w:val="21"/>
              </w:rPr>
            </w:pPr>
          </w:p>
        </w:tc>
        <w:tc>
          <w:tcPr>
            <w:tcW w:w="1333" w:type="dxa"/>
            <w:vAlign w:val="center"/>
          </w:tcPr>
          <w:p w14:paraId="01B93A34">
            <w:pPr>
              <w:spacing w:line="360" w:lineRule="auto"/>
              <w:jc w:val="center"/>
              <w:rPr>
                <w:rFonts w:hint="eastAsia" w:ascii="宋体" w:hAnsi="宋体" w:eastAsia="宋体" w:cs="宋体"/>
                <w:color w:val="000000"/>
                <w:sz w:val="21"/>
                <w:szCs w:val="21"/>
              </w:rPr>
            </w:pPr>
          </w:p>
        </w:tc>
      </w:tr>
      <w:tr w14:paraId="15335A7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2072" w:type="dxa"/>
            <w:vAlign w:val="center"/>
          </w:tcPr>
          <w:p w14:paraId="2ECAA261">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合计（大写）</w:t>
            </w:r>
          </w:p>
        </w:tc>
        <w:tc>
          <w:tcPr>
            <w:tcW w:w="6606" w:type="dxa"/>
            <w:gridSpan w:val="5"/>
            <w:vAlign w:val="center"/>
          </w:tcPr>
          <w:p w14:paraId="4B560537">
            <w:pPr>
              <w:spacing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p>
        </w:tc>
      </w:tr>
      <w:tr w14:paraId="2F8A780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2072" w:type="dxa"/>
            <w:vAlign w:val="center"/>
          </w:tcPr>
          <w:p w14:paraId="7C8C3FBE">
            <w:pPr>
              <w:spacing w:line="360" w:lineRule="auto"/>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合计（小写）</w:t>
            </w:r>
          </w:p>
        </w:tc>
        <w:tc>
          <w:tcPr>
            <w:tcW w:w="6606" w:type="dxa"/>
            <w:gridSpan w:val="5"/>
            <w:vAlign w:val="center"/>
          </w:tcPr>
          <w:p w14:paraId="7A627028">
            <w:pPr>
              <w:spacing w:line="360" w:lineRule="auto"/>
              <w:jc w:val="both"/>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元</w:t>
            </w:r>
          </w:p>
        </w:tc>
      </w:tr>
      <w:tr w14:paraId="55AF2D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8678" w:type="dxa"/>
            <w:gridSpan w:val="6"/>
            <w:tcBorders>
              <w:bottom w:val="single" w:color="auto" w:sz="4" w:space="0"/>
            </w:tcBorders>
            <w:vAlign w:val="center"/>
          </w:tcPr>
          <w:p w14:paraId="6250E9F9">
            <w:pPr>
              <w:spacing w:line="360" w:lineRule="auto"/>
              <w:jc w:val="both"/>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none"/>
                <w:lang w:val="en-US" w:eastAsia="zh-CN"/>
              </w:rPr>
              <w:t xml:space="preserve">备注：          </w:t>
            </w:r>
          </w:p>
        </w:tc>
      </w:tr>
    </w:tbl>
    <w:p w14:paraId="13B1A0EE">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第二条 合同条款</w:t>
      </w:r>
    </w:p>
    <w:p w14:paraId="59E66E1B">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1、合同总价为</w:t>
      </w:r>
      <w:r>
        <w:rPr>
          <w:rFonts w:hint="eastAsia" w:hAnsi="宋体" w:eastAsia="宋体" w:cs="宋体"/>
          <w:color w:val="000000"/>
          <w:sz w:val="21"/>
          <w:szCs w:val="21"/>
          <w:lang w:eastAsia="zh-CN"/>
        </w:rPr>
        <w:t>（</w:t>
      </w:r>
      <w:r>
        <w:rPr>
          <w:rFonts w:hint="eastAsia" w:hAnsi="宋体" w:eastAsia="宋体" w:cs="宋体"/>
          <w:color w:val="000000"/>
          <w:sz w:val="21"/>
          <w:szCs w:val="21"/>
          <w:lang w:val="en-US" w:eastAsia="zh-CN"/>
        </w:rPr>
        <w:t>大写</w:t>
      </w:r>
      <w:r>
        <w:rPr>
          <w:rFonts w:hint="eastAsia" w:hAnsi="宋体" w:eastAsia="宋体" w:cs="宋体"/>
          <w:color w:val="000000"/>
          <w:sz w:val="21"/>
          <w:szCs w:val="21"/>
          <w:lang w:eastAsia="zh-CN"/>
        </w:rPr>
        <w:t>）</w:t>
      </w:r>
      <w:r>
        <w:rPr>
          <w:rFonts w:hint="eastAsia" w:ascii="宋体" w:hAnsi="宋体" w:eastAsia="宋体" w:cs="宋体"/>
          <w:color w:val="000000"/>
          <w:sz w:val="21"/>
          <w:szCs w:val="21"/>
        </w:rPr>
        <w:t>人民币：</w:t>
      </w:r>
      <w:r>
        <w:rPr>
          <w:rFonts w:hint="eastAsia" w:hAnsi="宋体" w:eastAsia="宋体" w:cs="宋体"/>
          <w:color w:val="000000"/>
          <w:sz w:val="21"/>
          <w:szCs w:val="21"/>
          <w:u w:val="single"/>
          <w:lang w:val="en-US" w:eastAsia="zh-CN"/>
        </w:rPr>
        <w:t xml:space="preserve">       </w:t>
      </w:r>
      <w:r>
        <w:rPr>
          <w:rFonts w:hint="eastAsia" w:hAnsi="宋体" w:eastAsia="宋体" w:cs="宋体"/>
          <w:color w:val="000000"/>
          <w:sz w:val="21"/>
          <w:szCs w:val="21"/>
          <w:lang w:val="en-US" w:eastAsia="zh-CN"/>
        </w:rPr>
        <w:t xml:space="preserve">  </w:t>
      </w:r>
      <w:r>
        <w:rPr>
          <w:rFonts w:hint="eastAsia" w:ascii="宋体" w:hAnsi="宋体" w:eastAsia="宋体" w:cs="宋体"/>
          <w:color w:val="000000"/>
          <w:sz w:val="21"/>
          <w:szCs w:val="21"/>
        </w:rPr>
        <w:t>。</w:t>
      </w:r>
      <w:r>
        <w:rPr>
          <w:rFonts w:hint="eastAsia" w:hAnsi="宋体" w:eastAsia="宋体" w:cs="宋体"/>
          <w:color w:val="000000"/>
          <w:sz w:val="21"/>
          <w:szCs w:val="21"/>
          <w:lang w:eastAsia="zh-CN"/>
        </w:rPr>
        <w:t>（</w:t>
      </w:r>
      <w:r>
        <w:rPr>
          <w:rFonts w:hint="eastAsia" w:hAnsi="宋体" w:eastAsia="宋体" w:cs="宋体"/>
          <w:color w:val="000000"/>
          <w:sz w:val="21"/>
          <w:szCs w:val="21"/>
          <w:lang w:val="en-US" w:eastAsia="zh-CN"/>
        </w:rPr>
        <w:t>小写</w:t>
      </w:r>
      <w:r>
        <w:rPr>
          <w:rFonts w:hint="eastAsia" w:hAnsi="宋体" w:eastAsia="宋体" w:cs="宋体"/>
          <w:color w:val="000000"/>
          <w:sz w:val="21"/>
          <w:szCs w:val="21"/>
          <w:lang w:eastAsia="zh-CN"/>
        </w:rPr>
        <w:t>）</w:t>
      </w:r>
      <w:r>
        <w:rPr>
          <w:rFonts w:hint="eastAsia" w:ascii="宋体" w:hAnsi="宋体" w:eastAsia="宋体" w:cs="宋体"/>
          <w:color w:val="000000"/>
          <w:sz w:val="21"/>
          <w:szCs w:val="21"/>
        </w:rPr>
        <w:t>￥：</w:t>
      </w:r>
      <w:r>
        <w:rPr>
          <w:rFonts w:hint="eastAsia"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元。</w:t>
      </w:r>
    </w:p>
    <w:p w14:paraId="2F65E756">
      <w:pPr>
        <w:pStyle w:val="10"/>
        <w:spacing w:line="360" w:lineRule="auto"/>
        <w:ind w:firstLine="560"/>
        <w:rPr>
          <w:rFonts w:hint="default" w:ascii="宋体" w:hAnsi="宋体" w:eastAsia="宋体" w:cs="宋体"/>
          <w:color w:val="FF0000"/>
          <w:sz w:val="21"/>
          <w:szCs w:val="21"/>
          <w:highlight w:val="yellow"/>
          <w:lang w:val="en-US" w:eastAsia="zh-CN"/>
        </w:rPr>
      </w:pPr>
      <w:r>
        <w:rPr>
          <w:rFonts w:hint="eastAsia" w:hAnsi="宋体" w:eastAsia="宋体" w:cs="宋体"/>
          <w:color w:val="FF0000"/>
          <w:sz w:val="21"/>
          <w:szCs w:val="21"/>
          <w:highlight w:val="yellow"/>
          <w:lang w:val="en-US" w:eastAsia="zh-CN"/>
        </w:rPr>
        <w:t>2、</w:t>
      </w:r>
      <w:r>
        <w:rPr>
          <w:rFonts w:hint="eastAsia" w:ascii="宋体" w:hAnsi="宋体" w:eastAsia="宋体" w:cs="宋体"/>
          <w:color w:val="FF0000"/>
          <w:sz w:val="24"/>
          <w:szCs w:val="24"/>
          <w:highlight w:val="yellow"/>
          <w:lang w:val="en-US" w:eastAsia="zh-CN"/>
        </w:rPr>
        <w:t>合同签订后10日内中标(成交)</w:t>
      </w:r>
      <w:r>
        <w:rPr>
          <w:rFonts w:hint="eastAsia" w:hAnsi="宋体" w:eastAsia="宋体" w:cs="宋体"/>
          <w:color w:val="FF0000"/>
          <w:sz w:val="24"/>
          <w:szCs w:val="24"/>
          <w:highlight w:val="yellow"/>
          <w:lang w:val="en-US" w:eastAsia="zh-CN"/>
        </w:rPr>
        <w:t>乙方</w:t>
      </w:r>
      <w:r>
        <w:rPr>
          <w:rFonts w:hint="eastAsia" w:ascii="宋体" w:hAnsi="宋体" w:eastAsia="宋体" w:cs="宋体"/>
          <w:color w:val="FF0000"/>
          <w:sz w:val="24"/>
          <w:szCs w:val="24"/>
          <w:highlight w:val="yellow"/>
          <w:lang w:val="en-US" w:eastAsia="zh-CN"/>
        </w:rPr>
        <w:t>向</w:t>
      </w:r>
      <w:r>
        <w:rPr>
          <w:rFonts w:hint="eastAsia" w:hAnsi="宋体" w:eastAsia="宋体" w:cs="宋体"/>
          <w:color w:val="FF0000"/>
          <w:sz w:val="24"/>
          <w:szCs w:val="24"/>
          <w:highlight w:val="yellow"/>
          <w:lang w:val="en-US" w:eastAsia="zh-CN"/>
        </w:rPr>
        <w:t>甲方</w:t>
      </w:r>
      <w:r>
        <w:rPr>
          <w:rFonts w:hint="eastAsia" w:ascii="宋体" w:hAnsi="宋体" w:eastAsia="宋体" w:cs="宋体"/>
          <w:color w:val="FF0000"/>
          <w:sz w:val="24"/>
          <w:szCs w:val="24"/>
          <w:highlight w:val="yellow"/>
          <w:lang w:val="en-US" w:eastAsia="zh-CN"/>
        </w:rPr>
        <w:t>缴纳合同总金额5%的履约保证金,待设备验收合格、合同执行完毕后履约保证金予以无息退还。</w:t>
      </w:r>
    </w:p>
    <w:p w14:paraId="1E819B97">
      <w:pPr>
        <w:pStyle w:val="10"/>
        <w:spacing w:line="360" w:lineRule="auto"/>
        <w:ind w:firstLine="560"/>
        <w:rPr>
          <w:rFonts w:hint="eastAsia" w:ascii="宋体" w:hAnsi="宋体" w:eastAsia="宋体" w:cs="宋体"/>
          <w:color w:val="000000"/>
          <w:sz w:val="21"/>
          <w:szCs w:val="21"/>
        </w:rPr>
      </w:pPr>
      <w:r>
        <w:rPr>
          <w:rFonts w:hint="eastAsia" w:hAnsi="宋体" w:eastAsia="宋体" w:cs="宋体"/>
          <w:color w:val="000000"/>
          <w:sz w:val="21"/>
          <w:szCs w:val="21"/>
          <w:lang w:val="en-US" w:eastAsia="zh-CN"/>
        </w:rPr>
        <w:t>3</w:t>
      </w:r>
      <w:r>
        <w:rPr>
          <w:rFonts w:hint="eastAsia" w:ascii="宋体" w:hAnsi="宋体" w:eastAsia="宋体" w:cs="宋体"/>
          <w:color w:val="000000"/>
          <w:sz w:val="21"/>
          <w:szCs w:val="21"/>
        </w:rPr>
        <w:t>、本合同总价是货物（产品）设计、材料、制造、包装、运输、安装及安装时所有材料、调试、检测、验收合格交付使用之前及保修期内保修服务与备用物件等所有其他有关各项的含税费用。</w:t>
      </w:r>
    </w:p>
    <w:p w14:paraId="5F581BE0">
      <w:pPr>
        <w:pStyle w:val="10"/>
        <w:spacing w:line="360" w:lineRule="auto"/>
        <w:ind w:firstLine="560"/>
        <w:rPr>
          <w:rFonts w:hint="eastAsia" w:ascii="宋体" w:hAnsi="宋体" w:eastAsia="宋体" w:cs="宋体"/>
          <w:color w:val="000000"/>
          <w:sz w:val="21"/>
          <w:szCs w:val="21"/>
        </w:rPr>
      </w:pPr>
      <w:r>
        <w:rPr>
          <w:rFonts w:hint="eastAsia" w:hAnsi="宋体" w:eastAsia="宋体" w:cs="宋体"/>
          <w:color w:val="000000"/>
          <w:sz w:val="21"/>
          <w:szCs w:val="21"/>
          <w:lang w:val="en-US" w:eastAsia="zh-CN"/>
        </w:rPr>
        <w:t>4</w:t>
      </w:r>
      <w:r>
        <w:rPr>
          <w:rFonts w:hint="eastAsia" w:ascii="宋体" w:hAnsi="宋体" w:eastAsia="宋体" w:cs="宋体"/>
          <w:color w:val="000000"/>
          <w:sz w:val="21"/>
          <w:szCs w:val="21"/>
        </w:rPr>
        <w:t>、本合同总价还包含乙方应当提供的伴随服务和售后服务费用。合同总价一次包死，不受市场价变化的影响。</w:t>
      </w:r>
    </w:p>
    <w:p w14:paraId="0EC4404F">
      <w:pPr>
        <w:pStyle w:val="10"/>
        <w:spacing w:line="360" w:lineRule="auto"/>
        <w:ind w:firstLine="560"/>
        <w:rPr>
          <w:rFonts w:hint="eastAsia" w:ascii="宋体" w:hAnsi="宋体" w:eastAsia="宋体" w:cs="宋体"/>
          <w:color w:val="000000"/>
          <w:sz w:val="21"/>
          <w:szCs w:val="21"/>
        </w:rPr>
      </w:pPr>
      <w:r>
        <w:rPr>
          <w:rFonts w:hint="eastAsia" w:hAnsi="宋体" w:eastAsia="宋体" w:cs="宋体"/>
          <w:color w:val="000000"/>
          <w:sz w:val="21"/>
          <w:szCs w:val="21"/>
          <w:lang w:val="en-US" w:eastAsia="zh-CN"/>
        </w:rPr>
        <w:t>5</w:t>
      </w:r>
      <w:r>
        <w:rPr>
          <w:rFonts w:hint="eastAsia" w:ascii="宋体" w:hAnsi="宋体" w:eastAsia="宋体" w:cs="宋体"/>
          <w:color w:val="000000"/>
          <w:sz w:val="21"/>
          <w:szCs w:val="21"/>
        </w:rPr>
        <w:t>、本合同执行期间合同总价不变，甲方无须另向乙方支付本合同规定之外的其他任何费用。</w:t>
      </w:r>
    </w:p>
    <w:p w14:paraId="7A066CFF">
      <w:pPr>
        <w:pStyle w:val="10"/>
        <w:spacing w:line="360" w:lineRule="auto"/>
        <w:ind w:firstLine="560"/>
        <w:rPr>
          <w:rFonts w:hint="eastAsia" w:ascii="宋体" w:hAnsi="宋体" w:eastAsia="宋体" w:cs="宋体"/>
          <w:color w:val="000000"/>
          <w:sz w:val="21"/>
          <w:szCs w:val="21"/>
          <w:lang w:eastAsia="zh-CN"/>
        </w:rPr>
      </w:pPr>
      <w:r>
        <w:rPr>
          <w:rFonts w:hint="eastAsia" w:hAnsi="宋体" w:eastAsia="宋体" w:cs="宋体"/>
          <w:color w:val="000000"/>
          <w:sz w:val="21"/>
          <w:szCs w:val="21"/>
          <w:lang w:val="en-US" w:eastAsia="zh-CN"/>
        </w:rPr>
        <w:t>6</w:t>
      </w:r>
      <w:r>
        <w:rPr>
          <w:rFonts w:hint="eastAsia" w:ascii="宋体" w:hAnsi="宋体" w:eastAsia="宋体" w:cs="宋体"/>
          <w:color w:val="000000"/>
          <w:sz w:val="21"/>
          <w:szCs w:val="21"/>
        </w:rPr>
        <w:t>、合同履行开始时间：合同签订后次日</w:t>
      </w:r>
      <w:r>
        <w:rPr>
          <w:rFonts w:hint="eastAsia" w:hAnsi="宋体" w:eastAsia="宋体" w:cs="宋体"/>
          <w:color w:val="000000"/>
          <w:sz w:val="21"/>
          <w:szCs w:val="21"/>
          <w:lang w:eastAsia="zh-CN"/>
        </w:rPr>
        <w:t>。</w:t>
      </w:r>
    </w:p>
    <w:p w14:paraId="56E91125">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第三条 货款支付</w:t>
      </w:r>
    </w:p>
    <w:p w14:paraId="4D4B1BD7">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1、货物（产品）付款方式：</w:t>
      </w:r>
    </w:p>
    <w:p w14:paraId="4BF89370">
      <w:pPr>
        <w:pStyle w:val="3"/>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合同签订后10个工作日内预付</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0"/>
          <w:sz w:val="21"/>
          <w:szCs w:val="21"/>
          <w:highlight w:val="none"/>
          <w:lang w:eastAsia="zh-CN"/>
          <w14:textFill>
            <w14:solidFill>
              <w14:schemeClr w14:val="tx1"/>
            </w14:solidFill>
          </w14:textFill>
        </w:rPr>
        <w:t>0%合同款，仪器设备安装调试初验合格后10个工作日内付款</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60</w:t>
      </w:r>
      <w:r>
        <w:rPr>
          <w:rFonts w:hint="eastAsia" w:ascii="宋体" w:hAnsi="宋体" w:eastAsia="宋体" w:cs="宋体"/>
          <w:color w:val="000000" w:themeColor="text1"/>
          <w:kern w:val="0"/>
          <w:sz w:val="21"/>
          <w:szCs w:val="21"/>
          <w:highlight w:val="none"/>
          <w:lang w:eastAsia="zh-CN"/>
          <w14:textFill>
            <w14:solidFill>
              <w14:schemeClr w14:val="tx1"/>
            </w14:solidFill>
          </w14:textFill>
        </w:rPr>
        <w:t>%合同款。</w:t>
      </w:r>
    </w:p>
    <w:p w14:paraId="5F503529">
      <w:pPr>
        <w:pStyle w:val="10"/>
        <w:spacing w:line="360" w:lineRule="auto"/>
        <w:ind w:firstLine="56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2、结算方式：根据付款进度安排，对公转账。</w:t>
      </w:r>
    </w:p>
    <w:p w14:paraId="7F9AC32E">
      <w:pPr>
        <w:pStyle w:val="10"/>
        <w:spacing w:line="360" w:lineRule="auto"/>
        <w:ind w:firstLine="56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第四条 交货时间与地点</w:t>
      </w:r>
    </w:p>
    <w:p w14:paraId="60AA49F8">
      <w:pPr>
        <w:pStyle w:val="10"/>
        <w:spacing w:line="360" w:lineRule="auto"/>
        <w:ind w:firstLine="56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1、交货期：</w:t>
      </w:r>
      <w:r>
        <w:rPr>
          <w:rFonts w:hint="eastAsia" w:ascii="宋体" w:hAnsi="宋体" w:eastAsia="宋体" w:cs="宋体"/>
          <w:color w:val="000000" w:themeColor="text1"/>
          <w:sz w:val="21"/>
          <w:szCs w:val="21"/>
          <w:highlight w:val="none"/>
          <w:u w:val="single"/>
          <w14:textFill>
            <w14:solidFill>
              <w14:schemeClr w14:val="tx1"/>
            </w14:solidFill>
          </w14:textFill>
        </w:rPr>
        <w:t>合同签订后</w:t>
      </w:r>
      <w:r>
        <w:rPr>
          <w:rFonts w:hint="eastAsia"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个日历日</w:t>
      </w:r>
      <w:r>
        <w:rPr>
          <w:rFonts w:hint="eastAsia" w:hAnsi="宋体" w:eastAsia="宋体" w:cs="宋体"/>
          <w:color w:val="000000" w:themeColor="text1"/>
          <w:sz w:val="21"/>
          <w:szCs w:val="21"/>
          <w:highlight w:val="none"/>
          <w:lang w:eastAsia="zh-CN"/>
          <w14:textFill>
            <w14:solidFill>
              <w14:schemeClr w14:val="tx1"/>
            </w14:solidFill>
          </w14:textFill>
        </w:rPr>
        <w:t>；</w:t>
      </w:r>
    </w:p>
    <w:p w14:paraId="15609A5C">
      <w:pPr>
        <w:pStyle w:val="10"/>
        <w:spacing w:line="360" w:lineRule="auto"/>
        <w:ind w:left="420" w:leftChars="200" w:firstLine="0" w:firstLineChars="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2、交货地点：</w:t>
      </w:r>
      <w:r>
        <w:rPr>
          <w:rFonts w:hint="eastAsia" w:ascii="宋体" w:hAnsi="宋体" w:eastAsia="宋体" w:cs="宋体"/>
          <w:color w:val="000000" w:themeColor="text1"/>
          <w:sz w:val="21"/>
          <w:szCs w:val="21"/>
          <w:highlight w:val="none"/>
          <w:u w:val="single"/>
          <w14:textFill>
            <w14:solidFill>
              <w14:schemeClr w14:val="tx1"/>
            </w14:solidFill>
          </w14:textFill>
        </w:rPr>
        <w:t>安康学院江北校区产教融合大楼</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二号楼401</w:t>
      </w:r>
      <w:r>
        <w:rPr>
          <w:rFonts w:hint="eastAsia" w:ascii="宋体" w:hAnsi="宋体" w:eastAsia="宋体" w:cs="宋体"/>
          <w:color w:val="000000" w:themeColor="text1"/>
          <w:sz w:val="21"/>
          <w:szCs w:val="21"/>
          <w:highlight w:val="none"/>
          <w:u w:val="single"/>
          <w14:textFill>
            <w14:solidFill>
              <w14:schemeClr w14:val="tx1"/>
            </w14:solidFill>
          </w14:textFill>
        </w:rPr>
        <w:t>实验室</w:t>
      </w:r>
      <w:r>
        <w:rPr>
          <w:rFonts w:hint="eastAsia"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br w:type="textWrapping"/>
      </w:r>
      <w:r>
        <w:rPr>
          <w:rFonts w:hint="eastAsia" w:ascii="宋体" w:hAnsi="宋体" w:eastAsia="宋体" w:cs="宋体"/>
          <w:color w:val="000000" w:themeColor="text1"/>
          <w:sz w:val="21"/>
          <w:szCs w:val="21"/>
          <w:highlight w:val="none"/>
          <w14:textFill>
            <w14:solidFill>
              <w14:schemeClr w14:val="tx1"/>
            </w14:solidFill>
          </w14:textFill>
        </w:rPr>
        <w:t>3、乙方负责办理进口清关手续，承担关税、增值税（甲方配合免税申报</w:t>
      </w:r>
      <w:r>
        <w:rPr>
          <w:rFonts w:hint="eastAsia" w:hAnsi="宋体" w:eastAsia="宋体" w:cs="宋体"/>
          <w:color w:val="000000" w:themeColor="text1"/>
          <w:sz w:val="21"/>
          <w:szCs w:val="21"/>
          <w:highlight w:val="none"/>
          <w:lang w:eastAsia="zh-CN"/>
          <w14:textFill>
            <w14:solidFill>
              <w14:schemeClr w14:val="tx1"/>
            </w14:solidFill>
          </w14:textFill>
        </w:rPr>
        <w:t>；</w:t>
      </w:r>
    </w:p>
    <w:p w14:paraId="432B683E">
      <w:pPr>
        <w:pStyle w:val="10"/>
        <w:spacing w:line="360" w:lineRule="auto"/>
        <w:ind w:firstLine="560"/>
        <w:rPr>
          <w:rFonts w:hint="eastAsia" w:ascii="宋体" w:hAnsi="宋体" w:eastAsia="宋体" w:cs="宋体"/>
          <w:color w:val="FF0000"/>
          <w:sz w:val="21"/>
          <w:szCs w:val="21"/>
          <w:highlight w:val="none"/>
          <w:lang w:eastAsia="zh-CN"/>
        </w:rPr>
      </w:pPr>
      <w:r>
        <w:rPr>
          <w:rFonts w:hint="eastAsia" w:ascii="宋体" w:hAnsi="宋体" w:eastAsia="宋体" w:cs="宋体"/>
          <w:color w:val="000000" w:themeColor="text1"/>
          <w:sz w:val="21"/>
          <w:szCs w:val="21"/>
          <w:highlight w:val="none"/>
          <w14:textFill>
            <w14:solidFill>
              <w14:schemeClr w14:val="tx1"/>
            </w14:solidFill>
          </w14:textFill>
        </w:rPr>
        <w:t>4、乙方需在发货前72小时书面通知甲方物流信息及开箱准备事项</w:t>
      </w:r>
      <w:r>
        <w:rPr>
          <w:rFonts w:hint="eastAsia" w:hAnsi="宋体" w:eastAsia="宋体" w:cs="宋体"/>
          <w:color w:val="000000" w:themeColor="text1"/>
          <w:sz w:val="21"/>
          <w:szCs w:val="21"/>
          <w:highlight w:val="none"/>
          <w:lang w:eastAsia="zh-CN"/>
          <w14:textFill>
            <w14:solidFill>
              <w14:schemeClr w14:val="tx1"/>
            </w14:solidFill>
          </w14:textFill>
        </w:rPr>
        <w:t>；</w:t>
      </w:r>
    </w:p>
    <w:p w14:paraId="0E2FC87B">
      <w:pPr>
        <w:pStyle w:val="10"/>
        <w:spacing w:line="360" w:lineRule="auto"/>
        <w:ind w:firstLine="56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第五条 质量保证</w:t>
      </w:r>
    </w:p>
    <w:p w14:paraId="0B724FF4">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1、货物（产品）的质保期为终验合格交付使用后不少于</w:t>
      </w:r>
      <w:r>
        <w:rPr>
          <w:rFonts w:hint="eastAsia"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个月（电子枪/探测器等核心部件终验合格后</w:t>
      </w:r>
      <w:r>
        <w:rPr>
          <w:rFonts w:hint="eastAsia"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个月），终身维护保养，质保期后，只收取成本费用。</w:t>
      </w:r>
    </w:p>
    <w:p w14:paraId="74268F5D">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2、乙方提供的货物必须是原厂原包装、未使用过的进口全新设备。</w:t>
      </w:r>
    </w:p>
    <w:p w14:paraId="16F4D5C8">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3、乙方提供的自主创新产品、节能和环保产品必须是列入政府采购清单的产品。</w:t>
      </w:r>
    </w:p>
    <w:p w14:paraId="054F6B50">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4、设备分辨率、真空度等性能指标需持续符合附件一技术规格，否则视为质量问题。</w:t>
      </w:r>
    </w:p>
    <w:p w14:paraId="35B78562">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5、质量标准符合设备原产国安全标准，需提供海关进口货物证明书、原厂出厂检测报告。</w:t>
      </w:r>
    </w:p>
    <w:p w14:paraId="76A93E92">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6、随机提供交付相关单证，包括原厂商业发票、装箱单（中英文对照）、设备原产地证明、进口报关单及完税证明以及中文操作手册及安全警示标识等。</w:t>
      </w:r>
    </w:p>
    <w:p w14:paraId="629D0EF0">
      <w:pPr>
        <w:pStyle w:val="10"/>
        <w:spacing w:line="360" w:lineRule="auto"/>
        <w:ind w:firstLine="56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第六条 权利保证</w:t>
      </w:r>
    </w:p>
    <w:p w14:paraId="447C7793">
      <w:pPr>
        <w:pStyle w:val="1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1、乙方承诺设备不侵犯第三方知识产权，软件提供永久授权许可证书。</w:t>
      </w:r>
    </w:p>
    <w:p w14:paraId="088B7B96">
      <w:pPr>
        <w:pStyle w:val="10"/>
        <w:spacing w:line="360" w:lineRule="auto"/>
        <w:ind w:firstLine="56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2、乙方保证对其出售的货物上不存在任何未曾向甲方透露的担保物权，如抵押权、质押权、留置权</w:t>
      </w:r>
      <w:r>
        <w:rPr>
          <w:rFonts w:hint="eastAsia" w:ascii="宋体" w:hAnsi="宋体" w:eastAsia="宋体" w:cs="宋体"/>
          <w:color w:val="000000"/>
          <w:sz w:val="21"/>
          <w:szCs w:val="21"/>
        </w:rPr>
        <w:t>。</w:t>
      </w:r>
    </w:p>
    <w:p w14:paraId="549430A0">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3、乙方保证提供设备的辐射/电磁兼容性符合相关标准，提供原产国安全认证文件（如CE、FCC、VCCI）。</w:t>
      </w:r>
    </w:p>
    <w:p w14:paraId="32A6C670">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4、如甲方在使用该货物构成上述侵权的，则由乙方承担全部责任。</w:t>
      </w:r>
    </w:p>
    <w:p w14:paraId="74197261">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第七条 包装要求与运输方式</w:t>
      </w:r>
    </w:p>
    <w:p w14:paraId="1D6F96A6">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1、除合同另有规定外，乙方提供的全部货物均应按标准保护措施进行包装，该包装应适应于远距离运输、防潮、防震、防锈和防野蛮装卸，以确保货物安全运抵指定地点。</w:t>
      </w:r>
    </w:p>
    <w:p w14:paraId="04742B41">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2、每一包装单元应附详细的装箱单和质量合格证。</w:t>
      </w:r>
    </w:p>
    <w:p w14:paraId="69E75787">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3、选择运输风险小、运费低、距离短的运输路线。</w:t>
      </w:r>
    </w:p>
    <w:p w14:paraId="5A019C6C">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4、货物（产品）运输方式：</w:t>
      </w:r>
    </w:p>
    <w:p w14:paraId="73C0EF18">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5、乙方负责货物（产品）运输，货物运输的合理损耗及计算方法。</w:t>
      </w:r>
    </w:p>
    <w:p w14:paraId="7E487A2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6、运杂费一次包死在总价内，包括生产厂到施工现场所需的装卸、运输（含保险费）、现场保管费、二次倒运费、吊装费等费用。</w:t>
      </w:r>
    </w:p>
    <w:p w14:paraId="53243BF8">
      <w:pPr>
        <w:pStyle w:val="10"/>
        <w:spacing w:line="360" w:lineRule="auto"/>
        <w:ind w:firstLine="560"/>
        <w:rPr>
          <w:rFonts w:hint="eastAsia" w:ascii="宋体" w:hAnsi="宋体" w:eastAsia="宋体" w:cs="宋体"/>
          <w:sz w:val="21"/>
          <w:szCs w:val="21"/>
        </w:rPr>
      </w:pPr>
      <w:r>
        <w:rPr>
          <w:rFonts w:hint="eastAsia" w:ascii="宋体" w:hAnsi="宋体" w:eastAsia="宋体" w:cs="宋体"/>
          <w:color w:val="000000"/>
          <w:sz w:val="21"/>
          <w:szCs w:val="21"/>
        </w:rPr>
        <w:t>7、所有货物在运输、搬运、安装的过程中，发生的灭失风险由乙方承担；给甲方造成损失的，由乙方为甲方修复或更新。</w:t>
      </w:r>
    </w:p>
    <w:p w14:paraId="28B1D2A4">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第八条 货物验收</w:t>
      </w:r>
    </w:p>
    <w:p w14:paraId="5FDFEB5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1、货物验收由甲方组织，乙方配合，并按下列程序进行：</w:t>
      </w:r>
    </w:p>
    <w:p w14:paraId="48D33715">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到货验收：所有设备的安装和调试完成后的15个日历日完成验收。根据所提交的验收方案和实施办法，组织设备和技术人员，并在用户的监督下现场进行测试和验收，认真做好记录，同时完成验收初验报告报国资处。所有设备、配件在开箱时完好，无破损；配置与装箱单相符，系统设备、材料符合相关国家、行业及约定标准。</w:t>
      </w:r>
    </w:p>
    <w:p w14:paraId="0578DED5">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2、货物验收依据：</w:t>
      </w:r>
    </w:p>
    <w:p w14:paraId="4D5A0612">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（1）采购合同及投标文件；</w:t>
      </w:r>
    </w:p>
    <w:p w14:paraId="47EA27A3">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（2）供货一览表；</w:t>
      </w:r>
    </w:p>
    <w:p w14:paraId="574D72D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（3）质检部门抽样检查货物（产品）合格的检测报告。</w:t>
      </w:r>
    </w:p>
    <w:p w14:paraId="3F27A9E2">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（4）海关进口文件</w:t>
      </w:r>
    </w:p>
    <w:p w14:paraId="498D694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（5）原厂性能测试报告</w:t>
      </w:r>
    </w:p>
    <w:p w14:paraId="1C00DCD9">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3、货物验收时发现问题的处理办法：</w:t>
      </w:r>
    </w:p>
    <w:p w14:paraId="5EFA448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（1）乙方提供不符合本合同规定的货物（产品），甲方有权拒绝接受。</w:t>
      </w:r>
    </w:p>
    <w:p w14:paraId="02815527">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如发现所交付的货物有短装、次品、损坏或其它不符合本合同规定之情形者，甲方有权要求更换货物（产品），同时做出详细的现场记录，或由甲乙双方签署备忘录，此现场记录或备忘录可用作补充、缺失和更换损坏部件或更换整个货物（产品）有效证据，由此产生的时间延误与有关费用由乙方承担，验收期限相应顺延。</w:t>
      </w:r>
    </w:p>
    <w:p w14:paraId="15A8C0D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（3）如货物经乙方维修仍不能达到合同约定的质量标准，甲方有权退货，并视作乙方不能交付货物而须支付违约赔偿金给甲方，甲方还可依法追究乙方的违约责任。 </w:t>
      </w:r>
    </w:p>
    <w:p w14:paraId="7ECFD258">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（4）货物安装完成后15日内，甲方无故不进行验收工作并已使用货物的，视同已安装调试完成并验收合格。</w:t>
      </w:r>
    </w:p>
    <w:p w14:paraId="3AFAE82F">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（5）乙方不能完整交付货物及本条第一款款规定的单证和工具的，必须负责补齐，否则视为未按合同约定交货。</w:t>
      </w:r>
    </w:p>
    <w:p w14:paraId="60088041">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4、验收分三阶段：</w:t>
      </w:r>
    </w:p>
    <w:p w14:paraId="5B5E360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到货初验：检查外包装完整性、型号一致性（24小时内完成）</w:t>
      </w:r>
    </w:p>
    <w:p w14:paraId="29D9D629">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安装调试验：乙方演示全部功能（需达到附件一技术指标）</w:t>
      </w:r>
    </w:p>
    <w:p w14:paraId="48EF732B">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终验：由省级计量院或设备原厂工程师出具性能检测报告（作为付款依据）。</w:t>
      </w:r>
    </w:p>
    <w:p w14:paraId="394ED635">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第九条 技术培训</w:t>
      </w:r>
    </w:p>
    <w:p w14:paraId="1892321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所有设备安装、调试后，乙方负责安排甲方维修技术人员进行技术培训；在设备安装调试期间或以后，乙方必须安排技术人员现场对使用单位的操作、维护技术人员进行操作应用及维护保养等方面更深入的技能培训，使他们具备操作和必要的调整、维护技能。</w:t>
      </w:r>
    </w:p>
    <w:p w14:paraId="6044BD9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1、培训讲师：原厂认证工程师（提供资质证明） </w:t>
      </w:r>
    </w:p>
    <w:p w14:paraId="3061B5E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2、培训材料：提供中文版操作手册、故障代码手册、维护视频 </w:t>
      </w:r>
    </w:p>
    <w:p w14:paraId="3487C903">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3、培训内容：操作维护培训</w:t>
      </w:r>
    </w:p>
    <w:p w14:paraId="1C4CF92B">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基础操作：≥8课时（样品制备、成像、能谱分析）  </w:t>
      </w:r>
    </w:p>
    <w:p w14:paraId="6F5C782B">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高级维护：≥4课时（真空系统维护、电子枪保养）  </w:t>
      </w:r>
    </w:p>
    <w:p w14:paraId="77C6984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考核要求：80%参训人员需通过独立操作测试  </w:t>
      </w:r>
    </w:p>
    <w:p w14:paraId="4643129D">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4、培训地点：</w:t>
      </w:r>
    </w:p>
    <w:p w14:paraId="0AD914FE">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5、培训时间：安装调试后</w:t>
      </w:r>
    </w:p>
    <w:p w14:paraId="6C95B99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6、培训人数：20人</w:t>
      </w:r>
    </w:p>
    <w:p w14:paraId="548597C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7、培训费用：受训人员的食宿费、资料费、培训场地费、耗材（包括水电费等）费等已包含在合同总价中，甲方不再另行支付。</w:t>
      </w:r>
    </w:p>
    <w:p w14:paraId="1D0C4855">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第十条 售后服务</w:t>
      </w:r>
    </w:p>
    <w:p w14:paraId="61B5A3D2">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1、乙方应按照国家有关法律法规和“三包”规定以及“服务承诺”提供服务。 </w:t>
      </w:r>
    </w:p>
    <w:p w14:paraId="4AD4B850">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2、乙方在接到甲方报修电话故障通知后，在24小时内提供远程技术支持，72小时内工程师到场进行维修服务，承担相应费用，若需将产品送回生产厂家，乙方应提供备用机、承担维修设备所需的往返费用。</w:t>
      </w:r>
    </w:p>
    <w:p w14:paraId="1EDAE210">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3、如果乙方在收到通知后3天内没有弥补缺陷，甲方可采取必要的补救措施，但其风险和费用将由乙方承担，甲方根据合同规定对乙方行使的其它权力不受影响。甲方亦可从质保金中扣回索赔金额。</w:t>
      </w:r>
    </w:p>
    <w:p w14:paraId="786D7993">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4、伴随服务</w:t>
      </w:r>
    </w:p>
    <w:p w14:paraId="597B4DDC">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（1）乙方应随同每套货物提供相应的中文的技术文件。</w:t>
      </w:r>
    </w:p>
    <w:p w14:paraId="337A9D3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①、完整的操作使用手册和维护、修理技术文件，图纸、保修卡等必须的技术资料。</w:t>
      </w:r>
    </w:p>
    <w:p w14:paraId="502AB58E">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②、制造厂的检验、测试报告、设备检验合格证书，计量合格等级证书，质量保证书以及原厂签章的全球联保承诺函等文件须随设备装箱提供。</w:t>
      </w:r>
    </w:p>
    <w:p w14:paraId="1629F28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③、必须的其它伴随服务。</w:t>
      </w:r>
    </w:p>
    <w:p w14:paraId="30C1F3F5">
      <w:pPr>
        <w:pStyle w:val="10"/>
        <w:spacing w:line="360" w:lineRule="auto"/>
        <w:ind w:left="0" w:leftChars="0"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（2）伴随服务的费用已含在合同价中，不单独进行支付。</w:t>
      </w:r>
    </w:p>
    <w:p w14:paraId="7B8270B6">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第十一条 违约责任</w:t>
      </w:r>
    </w:p>
    <w:p w14:paraId="516512C3">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1、甲方违约责任</w:t>
      </w:r>
    </w:p>
    <w:p w14:paraId="6C6D8C97">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（1）甲方无正当理由拒收货物的，甲方应偿付合同总价10%的违约金；</w:t>
      </w:r>
    </w:p>
    <w:p w14:paraId="56B64C1C">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（2）甲方逾期支付货款的，除应及时付足货款外，应向乙方每天支付欠款总额3‰的滞纳金；但累计滞纳金总额不超过欠款总额的1%。</w:t>
      </w:r>
    </w:p>
    <w:p w14:paraId="2DF4A505">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2、乙方违约责任</w:t>
      </w:r>
    </w:p>
    <w:p w14:paraId="3AC17C1D">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（1）如乙方不能交付货物，乙方应向甲方支付合同总价10%的违约金。</w:t>
      </w:r>
    </w:p>
    <w:p w14:paraId="18A19DFD">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（2）乙方逾期交付货物的，每逾期1天，乙方向甲方偿付逾期交货部分货款总额的3‰的滞纳金（上限10%）。如乙方逾期交货达60天，甲方有权解除合同，解除合同的通知自到达乙方时生效。</w:t>
      </w:r>
    </w:p>
    <w:p w14:paraId="7F756918">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3）乙方所交付货物的型号配置与附件一不符、缺少任一进口必备单证、性能检测未达附件标准等不符合合同规定的，甲方有权拒收。甲方拒收的，乙方全额退还甲方已支付货款并按同期LPR利率支付利息（自收款日起至退还日止），承担设备退运/仓储等费用。 </w:t>
      </w:r>
    </w:p>
    <w:p w14:paraId="28F35246">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乙方货物经甲方送交具有法定资格条件的质量技术监督机构检测后，如检测结果认定货物质量不符合本合同规定标准的，则视为乙方没有按时交货而违约，乙方须在天内无条件更换合格的货物，如逾期不能更换合格的货物，甲方有权终止本合同，乙方应另向甲方支付货款总额的10%的违约金。</w:t>
      </w:r>
    </w:p>
    <w:p w14:paraId="6E298012">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B1FAEF9">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（6）乙方未按本合同的规定和“服务承诺”提供伴随服务/售后服务的，应按合同总价款的10%向甲方承担违约责任。</w:t>
      </w:r>
    </w:p>
    <w:p w14:paraId="5BCFDD1A">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（7）乙方在承担上述1-6款一项或多项违约责任后，仍应继续履行合同规定的义务（甲方解除合同的除外）。甲方未能及时追究乙方的任何一项违约责任并不表明甲方放弃追究乙方该项或其他违约责任。</w:t>
      </w:r>
    </w:p>
    <w:p w14:paraId="0125772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hAnsi="宋体" w:eastAsia="宋体" w:cs="宋体"/>
          <w:color w:val="000000"/>
          <w:sz w:val="21"/>
          <w:szCs w:val="21"/>
          <w:lang w:val="en-US" w:eastAsia="zh-CN"/>
        </w:rPr>
        <w:t>8</w:t>
      </w:r>
      <w:r>
        <w:rPr>
          <w:rFonts w:hint="eastAsia" w:ascii="宋体" w:hAnsi="宋体" w:eastAsia="宋体" w:cs="宋体"/>
          <w:color w:val="000000"/>
          <w:sz w:val="21"/>
          <w:szCs w:val="21"/>
        </w:rPr>
        <w:t>）乙方偿付的违约金不足以弥补甲方损失的，还应按甲方损失尚未弥补的部分，支付赔偿金给甲方。</w:t>
      </w:r>
    </w:p>
    <w:p w14:paraId="441F0866">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第十二条 合同的变更和终止</w:t>
      </w:r>
    </w:p>
    <w:p w14:paraId="67274DC3">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本合同一经签订，甲乙双方不得擅自变更、中止或终止合同。</w:t>
      </w:r>
    </w:p>
    <w:p w14:paraId="2C79CE0C">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第十三条 争议的解决</w:t>
      </w:r>
    </w:p>
    <w:p w14:paraId="5DA0278B">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1、因货物的质量问题发生争议，由违约方指定的质量鉴定机构进行质量鉴定。货物符合标准的，鉴定费由甲方承担；货物不符合质量标准的，鉴定费由乙方承担。</w:t>
      </w:r>
    </w:p>
    <w:p w14:paraId="158067FD">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2、因履行本合同引起的或与本合同有关的争议，甲、乙双方应首先通过友好协商解决，如果协商不能解决争议，则采取以下第_1_种方式解决争议：</w:t>
      </w:r>
    </w:p>
    <w:p w14:paraId="32DD23B8">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（1）向甲方所在地有管辖权的人民法院提起诉讼；</w:t>
      </w:r>
    </w:p>
    <w:p w14:paraId="0BE6F3B4">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（2）向当地仲裁委员会按其仲裁规则申请仲裁。</w:t>
      </w:r>
    </w:p>
    <w:p w14:paraId="51E17A85">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3．在仲裁期间，本合同应继续履行。</w:t>
      </w:r>
    </w:p>
    <w:p w14:paraId="7839438A">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第十四条 合同文件</w:t>
      </w:r>
    </w:p>
    <w:p w14:paraId="59DD53C3">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0E023F9E">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1、本合同书　</w:t>
      </w:r>
    </w:p>
    <w:p w14:paraId="1AA7077C">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2、国家相关规范及标准</w:t>
      </w:r>
    </w:p>
    <w:p w14:paraId="4DA6A631">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3、供货设备技术规格及参数表</w:t>
      </w:r>
    </w:p>
    <w:p w14:paraId="5AF9CEC3">
      <w:pPr>
        <w:pStyle w:val="10"/>
        <w:spacing w:line="360" w:lineRule="auto"/>
        <w:ind w:firstLine="56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第十五条　合同生效及其他</w:t>
      </w:r>
    </w:p>
    <w:p w14:paraId="11F37C90">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1、合同未尽事宜，由甲、乙双方协商后依法订立补充合同，与原合同具有同等法律效力。</w:t>
      </w:r>
    </w:p>
    <w:p w14:paraId="3A306885">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2、本合同一式</w:t>
      </w:r>
      <w:r>
        <w:rPr>
          <w:rFonts w:hint="eastAsia" w:ascii="宋体" w:hAnsi="宋体" w:eastAsia="宋体" w:cs="宋体"/>
          <w:color w:val="000000"/>
          <w:sz w:val="21"/>
          <w:szCs w:val="21"/>
          <w:u w:val="single"/>
        </w:rPr>
        <w:t>_肆_</w:t>
      </w:r>
      <w:r>
        <w:rPr>
          <w:rFonts w:hint="eastAsia" w:ascii="宋体" w:hAnsi="宋体" w:eastAsia="宋体" w:cs="宋体"/>
          <w:color w:val="000000"/>
          <w:sz w:val="21"/>
          <w:szCs w:val="21"/>
        </w:rPr>
        <w:t>份，甲乙双方各执</w:t>
      </w:r>
      <w:r>
        <w:rPr>
          <w:rFonts w:hint="eastAsia" w:ascii="宋体" w:hAnsi="宋体" w:eastAsia="宋体" w:cs="宋体"/>
          <w:color w:val="000000"/>
          <w:sz w:val="21"/>
          <w:szCs w:val="21"/>
          <w:u w:val="single"/>
        </w:rPr>
        <w:t>_贰_</w:t>
      </w:r>
      <w:r>
        <w:rPr>
          <w:rFonts w:hint="eastAsia" w:ascii="宋体" w:hAnsi="宋体" w:eastAsia="宋体" w:cs="宋体"/>
          <w:color w:val="000000"/>
          <w:sz w:val="21"/>
          <w:szCs w:val="21"/>
        </w:rPr>
        <w:t>份。</w:t>
      </w:r>
    </w:p>
    <w:p w14:paraId="5EBA2BBB">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3、本合同自签订之日起生效。</w:t>
      </w:r>
    </w:p>
    <w:p w14:paraId="75D99562">
      <w:pPr>
        <w:pStyle w:val="10"/>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 乙方保证设备软件为正版授权，并提供永久使用许可证书副本。</w:t>
      </w:r>
    </w:p>
    <w:bookmarkEnd w:id="3"/>
    <w:p w14:paraId="1BB7DA26">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722E80EE">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甲方：安康学院   （盖章） </w:t>
      </w:r>
      <w:r>
        <w:rPr>
          <w:rFonts w:hint="eastAsia"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乙方： </w:t>
      </w:r>
      <w:r>
        <w:rPr>
          <w:rFonts w:hint="eastAsia" w:ascii="宋体" w:hAnsi="宋体" w:eastAsia="宋体" w:cs="宋体"/>
          <w:sz w:val="21"/>
          <w:szCs w:val="21"/>
        </w:rPr>
        <w:t xml:space="preserve"> </w:t>
      </w:r>
    </w:p>
    <w:p w14:paraId="743BA63C">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4BDE0720">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法定代表人：                       法定代表人：</w:t>
      </w:r>
    </w:p>
    <w:p w14:paraId="7386CF95">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0E202E20">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授权代表：                         授权代表：</w:t>
      </w:r>
    </w:p>
    <w:p w14:paraId="142AE224">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6946B97E">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    址：                         地    址：</w:t>
      </w:r>
    </w:p>
    <w:p w14:paraId="7229678B">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7506B40F">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开户银行：                         开户银行：</w:t>
      </w:r>
    </w:p>
    <w:p w14:paraId="46403C03">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179A2768">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账    号：                         账    号：</w:t>
      </w:r>
    </w:p>
    <w:p w14:paraId="7C4D09F3">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0BD32C98">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电    话：                         电    话：</w:t>
      </w:r>
    </w:p>
    <w:p w14:paraId="1BDF57A5">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1313E7B8">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传    真：                         传    真：</w:t>
      </w:r>
    </w:p>
    <w:p w14:paraId="67852495">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5740EAA7">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p>
    <w:p w14:paraId="6510D36E">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签约日期   年  月 日 </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ab/>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签约日期：  年  月 日</w:t>
      </w:r>
    </w:p>
    <w:p w14:paraId="2DE195FC">
      <w:pPr>
        <w:pStyle w:val="9"/>
        <w:rPr>
          <w:rFonts w:hint="eastAsia"/>
          <w:lang w:val="en-US" w:eastAsia="zh-Hans"/>
        </w:rPr>
      </w:pPr>
    </w:p>
    <w:p w14:paraId="72064B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F299D"/>
    <w:rsid w:val="211F299D"/>
    <w:rsid w:val="230C1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kern w:val="0"/>
      <w:sz w:val="20"/>
    </w:rPr>
  </w:style>
  <w:style w:type="paragraph" w:styleId="4">
    <w:name w:val="Body Text Indent"/>
    <w:basedOn w:val="1"/>
    <w:next w:val="5"/>
    <w:qFormat/>
    <w:uiPriority w:val="0"/>
    <w:pPr>
      <w:ind w:firstLine="552"/>
    </w:pPr>
    <w:rPr>
      <w:rFonts w:ascii="宋体"/>
      <w:sz w:val="28"/>
    </w:r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6">
    <w:name w:val="Normal (Web)"/>
    <w:basedOn w:val="1"/>
    <w:qFormat/>
    <w:uiPriority w:val="0"/>
    <w:pPr>
      <w:spacing w:beforeAutospacing="1" w:afterAutospacing="1"/>
    </w:pPr>
    <w:rPr>
      <w:rFonts w:cs="Times New Roman"/>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 首行缩进:  2 字符"/>
    <w:basedOn w:val="1"/>
    <w:qFormat/>
    <w:uiPriority w:val="99"/>
    <w:pPr>
      <w:spacing w:line="400" w:lineRule="exact"/>
      <w:ind w:firstLine="200" w:firstLineChars="200"/>
    </w:pPr>
    <w:rPr>
      <w:rFonts w:ascii="宋体"/>
      <w:kern w:val="0"/>
      <w:sz w:val="3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4298</Words>
  <Characters>4343</Characters>
  <Lines>0</Lines>
  <Paragraphs>0</Paragraphs>
  <TotalTime>0</TotalTime>
  <ScaleCrop>false</ScaleCrop>
  <LinksUpToDate>false</LinksUpToDate>
  <CharactersWithSpaces>4789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2025-08-22T10:41:00Z</dcterms:created>
  <dc:creator>　　　　　　　　</dc:creator>
  <cp:lastModifiedBy>　　　　　　　　</cp:lastModifiedBy>
  <dcterms:modified xsi:type="dcterms:W3CDTF">2025-08-25T12:00:02Z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3C5149CFA6E54A5987599A9331DE900B_11</vt:lpwstr>
  </property>
  <property fmtid="{D5CDD505-2E9C-101B-9397-08002B2CF9AE}" pid="4" name="KSOTemplateDocerSaveRecord">
    <vt:lpwstr>eyJoZGlkIjoiNDUwYWVjMTIwNWQ0MzEzNWYzZDdmZTRkNzk5NjUyOTIiLCJ1c2VySWQiOiIzMTE3MjAwMTYifQ==</vt:lpwstr>
  </property>
</Properties>
</file>